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Исследование</w:t>
      </w:r>
      <w:r w:rsidR="004801B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склонностей</w:t>
      </w:r>
      <w:r w:rsidR="004801B7">
        <w:rPr>
          <w:rFonts w:ascii="Times New Roman" w:eastAsia="Times New Roman" w:hAnsi="Times New Roman" w:cs="Times New Roman"/>
          <w:sz w:val="36"/>
          <w:szCs w:val="24"/>
          <w:lang w:eastAsia="ru-RU"/>
        </w:rPr>
        <w:t xml:space="preserve"> </w:t>
      </w:r>
    </w:p>
    <w:p w:rsidR="004801B7" w:rsidRDefault="004801B7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555A4A" w:rsidRDefault="004801B7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склонностей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31D5E" w:rsidRPr="004801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тест-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опросника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КОС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можно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проводить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одним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испытуемым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группой.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Испытуемым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раздаются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тексты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опросника,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бланки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ответов,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зачитывается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инструкция.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555A4A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&lt;/</w:t>
      </w:r>
      <w:proofErr w:type="spellStart"/>
      <w:r w:rsidR="00555A4A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p</w:t>
      </w:r>
      <w:proofErr w:type="spellEnd"/>
      <w:r w:rsidR="00555A4A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&gt;</w:t>
      </w:r>
    </w:p>
    <w:p w:rsidR="00555A4A" w:rsidRDefault="00555A4A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&lt;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p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&gt;</w:t>
      </w:r>
      <w:r w:rsidR="00631D5E" w:rsidRPr="004801B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Инструкция: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Предлагаемый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тест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содержит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40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вопросов.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Прочитайте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ответьте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помощью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бланка.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бланке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напечатаны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номера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вопросов.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Ваш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положителен,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согласны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тем,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спрашивается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бланке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соответствующий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номер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обведите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кружочком.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Ваш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отрицателен,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согласны,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соответствующий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номер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зачеркните.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Следите,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чтобы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номер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номер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бланке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совпадали.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Имейте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виду,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носят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общий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характер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могут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содержать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всех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необходимых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подробностей.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Поэтому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представьте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себе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типичные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ситуации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задумывайтесь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над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деталями.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следует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тратить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много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времени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обдумывание,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отвечайте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быстро.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Возможно,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некоторые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будет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трудно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ответить.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Тогда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постарайтесь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дать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который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считаете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предпочтительным.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любой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из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этих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обращайте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внимание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его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первые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слова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согласовывайте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ними.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Отвечая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вопросы,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стремитесь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произвести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заведомо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приятное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впечатление.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Важна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искренность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631D5E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ответе".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&lt;/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p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&gt;</w:t>
      </w:r>
    </w:p>
    <w:p w:rsidR="004801B7" w:rsidRDefault="00555A4A" w:rsidP="004801B7">
      <w:pPr>
        <w:shd w:val="clear" w:color="auto" w:fill="FFFFFF"/>
        <w:spacing w:after="0" w:line="240" w:lineRule="auto"/>
        <w:ind w:firstLine="284"/>
        <w:outlineLvl w:val="5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&lt;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p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&gt;</w:t>
      </w: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outlineLvl w:val="5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Опросник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Много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друзей,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которыми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постоянно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общаетесь?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удается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склонить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большинство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своих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товарищей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принятию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Вашего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решения?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Долго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беспокоит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чувство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обиды,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причинённое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кем-то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из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Ваших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товарищей?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Всегда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трудно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ориентироваться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создавшейся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критической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ситуации?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стремление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установлению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новых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знакомств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разными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людьми?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Нравиться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заниматься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общественно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работой?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Верно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приятнее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проще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проводить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время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книгами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каким-либо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другим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занятием,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людьми?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возникли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какие-то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помехи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осуществлении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Ваших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намерений,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легко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отступаете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них?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Легко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устанавливаете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контакты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людьми,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которые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значительно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старше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возрасту?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Любите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придумывать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организовывать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своими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товарищами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различные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игры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развлечения?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Трудно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включиться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новую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компанию?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откладываете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другие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дни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дела,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которые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нужно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было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выполнить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сегодня?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Легко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удаётся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устанавливать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контакты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незнакомыми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людьми?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Стремитесь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добиваться,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чтобы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Ваши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действовали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соответствии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Вашим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мнением?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Трудно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осваиваетесь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новом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коллективе?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Верно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бывает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конфликтов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товарищами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из-за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невыполнения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своих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обещаний,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обязанностей,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обязательств?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Стремитесь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удобном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случае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познакомиться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побеседовать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новым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человеком?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решении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важных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принимаете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инициативу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себя?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Раздражают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окружающие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gramStart"/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люди</w:t>
      </w:r>
      <w:proofErr w:type="gramEnd"/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хочется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побыть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одному?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Правда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обычно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плохо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ориентируетесь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незнакомой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обстановке?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Нравится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постоянно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находиться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среди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людей?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Возникает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раздражение,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удается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закончить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начатое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дело?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Испытываете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чувство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затруднения,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неудобства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стеснения,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приходится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проявить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инициативу,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чтобы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познакомиться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новым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человеком?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Правда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proofErr w:type="gramStart"/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proofErr w:type="gramEnd"/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утомляетесь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частого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общения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товарищами?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Любите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участвовать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коллективных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играх?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проявляете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инициативу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решении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вопросов,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затрагивающих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интересы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Ваших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товарищей?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Правда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чувствуете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себя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неуверенно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среди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мало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знакомых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людей?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Верно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proofErr w:type="gramStart"/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proofErr w:type="gramEnd"/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редко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стремитесь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доказательству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своей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правоты?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Полагаете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доставляет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особого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труда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внести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оживление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малознакомую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компанию?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Принимали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участие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общественной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работе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школе?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Стремитесь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ограничить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круг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своих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знакомых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небольшим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количеством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людей?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Верно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proofErr w:type="gramStart"/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proofErr w:type="gramEnd"/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стремитесь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отстаивать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мнение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решение,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было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сразу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принято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Вашими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товарищами?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Чувствуете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себя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непринужденно,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попав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незнакомую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компанию?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Охотно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приступаете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организации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различных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мероприятий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своих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товарищей?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Правда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чувствуете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себя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достаточно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уверенным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спокойным,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когда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приходится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говорить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что-либо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большой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группе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людей?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опаздываете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деловые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встречи,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свидания?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Верно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много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друзей?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оказываетесь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центре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внимания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своих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товарищей?</w:t>
      </w:r>
    </w:p>
    <w:p w:rsidR="004801B7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смущаетесь,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чувствуете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неловкость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общении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малознакомыми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людьми?</w:t>
      </w:r>
    </w:p>
    <w:p w:rsidR="00631D5E" w:rsidRPr="004801B7" w:rsidRDefault="00631D5E" w:rsidP="004801B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Правда,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ли,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очень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уверенно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чувствуете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себя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окружении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большой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группы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своих</w:t>
      </w:r>
      <w:r w:rsidR="004801B7"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товарищей?</w:t>
      </w: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Бланк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представляет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собой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четыре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ряда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цифр,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означающих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номера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пронумерованных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40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определенном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порядке,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точно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таком,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образце.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было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несколько,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необходимости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бланки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подписывают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обратной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стороне.</w:t>
      </w:r>
    </w:p>
    <w:p w:rsidR="004801B7" w:rsidRDefault="004801B7" w:rsidP="004801B7">
      <w:pPr>
        <w:shd w:val="clear" w:color="auto" w:fill="FFFFFF"/>
        <w:spacing w:after="0" w:line="240" w:lineRule="auto"/>
        <w:ind w:firstLine="284"/>
        <w:outlineLvl w:val="5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outlineLvl w:val="5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Обработка</w:t>
      </w:r>
      <w:r w:rsidR="004801B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результатов</w:t>
      </w:r>
    </w:p>
    <w:p w:rsidR="00631D5E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Цель</w:t>
      </w:r>
      <w:r w:rsidR="004801B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обработки</w:t>
      </w:r>
      <w:r w:rsidR="004801B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результатов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—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получение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индексов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этого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испытуемого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сопоставляют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дешифратором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подсчитывают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количество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совпадений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отдельно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склонностям.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дешифраторе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учитывается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построчное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расположение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номеров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вопросов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бланке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ответов.</w:t>
      </w:r>
    </w:p>
    <w:p w:rsidR="004801B7" w:rsidRDefault="004801B7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801B7" w:rsidTr="00CA077B"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8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01B7" w:rsidTr="00CA077B"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8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01B7" w:rsidTr="00CA077B"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8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01B7" w:rsidTr="00CA077B"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8" w:type="dxa"/>
            <w:vAlign w:val="center"/>
          </w:tcPr>
          <w:p w:rsidR="004801B7" w:rsidRPr="004801B7" w:rsidRDefault="004801B7" w:rsidP="00781B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56468" w:rsidRDefault="00256468" w:rsidP="00256468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631D5E" w:rsidRDefault="00256468" w:rsidP="00256468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Дешифратор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75232F" w:rsidTr="0075232F">
        <w:tc>
          <w:tcPr>
            <w:tcW w:w="3190" w:type="dxa"/>
            <w:vMerge w:val="restart"/>
            <w:vAlign w:val="center"/>
          </w:tcPr>
          <w:p w:rsidR="0075232F" w:rsidRDefault="0075232F" w:rsidP="0075232F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Склонности</w:t>
            </w:r>
          </w:p>
        </w:tc>
        <w:tc>
          <w:tcPr>
            <w:tcW w:w="6381" w:type="dxa"/>
            <w:gridSpan w:val="2"/>
          </w:tcPr>
          <w:p w:rsidR="0075232F" w:rsidRDefault="0075232F" w:rsidP="0075232F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Ответы</w:t>
            </w:r>
          </w:p>
        </w:tc>
      </w:tr>
      <w:tr w:rsidR="0075232F" w:rsidTr="0075232F">
        <w:tc>
          <w:tcPr>
            <w:tcW w:w="3190" w:type="dxa"/>
            <w:vMerge/>
          </w:tcPr>
          <w:p w:rsidR="0075232F" w:rsidRDefault="0075232F" w:rsidP="004801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75232F" w:rsidRDefault="0075232F" w:rsidP="00BC1906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положительные</w:t>
            </w:r>
          </w:p>
        </w:tc>
        <w:tc>
          <w:tcPr>
            <w:tcW w:w="3191" w:type="dxa"/>
          </w:tcPr>
          <w:p w:rsidR="0075232F" w:rsidRDefault="0075232F" w:rsidP="00BC1906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отрицательные</w:t>
            </w:r>
          </w:p>
        </w:tc>
      </w:tr>
      <w:tr w:rsidR="0075232F" w:rsidTr="00C42C1B">
        <w:tc>
          <w:tcPr>
            <w:tcW w:w="3190" w:type="dxa"/>
            <w:vAlign w:val="center"/>
          </w:tcPr>
          <w:p w:rsidR="0075232F" w:rsidRPr="004801B7" w:rsidRDefault="0075232F" w:rsidP="00752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75232F" w:rsidRDefault="00BC1906" w:rsidP="004801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3191" w:type="dxa"/>
          </w:tcPr>
          <w:p w:rsidR="0075232F" w:rsidRDefault="00BC1906" w:rsidP="004801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строки</w:t>
            </w:r>
          </w:p>
        </w:tc>
      </w:tr>
      <w:tr w:rsidR="0075232F" w:rsidTr="00C42C1B">
        <w:tc>
          <w:tcPr>
            <w:tcW w:w="3190" w:type="dxa"/>
            <w:vAlign w:val="center"/>
          </w:tcPr>
          <w:p w:rsidR="0075232F" w:rsidRPr="004801B7" w:rsidRDefault="0075232F" w:rsidP="00752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Организаторские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75232F" w:rsidRDefault="00BC1906" w:rsidP="004801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3191" w:type="dxa"/>
          </w:tcPr>
          <w:p w:rsidR="0075232F" w:rsidRDefault="00BC1906" w:rsidP="004801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строки</w:t>
            </w:r>
          </w:p>
        </w:tc>
      </w:tr>
    </w:tbl>
    <w:p w:rsidR="0075232F" w:rsidRPr="004801B7" w:rsidRDefault="0075232F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Чтобы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определить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уровень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уровень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нужно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высчитать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коэффициенты.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Коэффициенты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представляют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собой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отношение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количества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совпадающих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или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максимально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возможному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числу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совпадений,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данном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случае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—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20.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Формулы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подсчета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коэффициентов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такие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BE5CAC" w:rsidRDefault="00D36F9C" w:rsidP="00BE5CA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444444"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ru-RU"/>
                </w:rPr>
                <m:t>К</m:t>
              </m:r>
            </m:e>
            <m:sub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ru-RU"/>
                </w:rPr>
                <m:t>к</m:t>
              </m:r>
            </m:sub>
          </m:sSub>
          <m:r>
            <w:rPr>
              <w:rFonts w:ascii="Cambria Math" w:eastAsia="Times New Roman" w:hAnsi="Cambria Math" w:cs="Times New Roman"/>
              <w:color w:val="444444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444444"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ru-RU"/>
                </w:rPr>
                <m:t>Кх</m:t>
              </m:r>
            </m:num>
            <m:den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ru-RU"/>
                </w:rPr>
                <m:t>20</m:t>
              </m:r>
            </m:den>
          </m:f>
        </m:oMath>
      </m:oMathPara>
    </w:p>
    <w:p w:rsidR="00BE5CAC" w:rsidRDefault="00D36F9C" w:rsidP="00BE5CAC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444444"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ru-RU"/>
                </w:rPr>
                <m:t>К</m:t>
              </m:r>
            </m:e>
            <m:sub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ru-RU"/>
                </w:rPr>
                <m:t>о</m:t>
              </m:r>
            </m:sub>
          </m:sSub>
          <m:r>
            <w:rPr>
              <w:rFonts w:ascii="Cambria Math" w:eastAsia="Times New Roman" w:hAnsi="Cambria Math" w:cs="Times New Roman"/>
              <w:color w:val="444444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444444"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ru-RU"/>
                </w:rPr>
                <m:t>Ко</m:t>
              </m:r>
            </m:num>
            <m:den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ru-RU"/>
                </w:rPr>
                <m:t>20</m:t>
              </m:r>
            </m:den>
          </m:f>
        </m:oMath>
      </m:oMathPara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spellStart"/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Кк</w:t>
      </w:r>
      <w:proofErr w:type="spellEnd"/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—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коэффициент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склонностей;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</w:t>
      </w:r>
      <w:proofErr w:type="gramEnd"/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—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коэффициент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склонностей;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spellStart"/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Кх</w:t>
      </w:r>
      <w:proofErr w:type="spellEnd"/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Ox</w:t>
      </w:r>
      <w:proofErr w:type="spellEnd"/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—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количество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совпадающих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дешифратором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ответов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соответственно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склонностям.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4801B7" w:rsidRDefault="004801B7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Анализ</w:t>
      </w:r>
      <w:r w:rsidR="004801B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результатов</w:t>
      </w:r>
      <w:r w:rsidR="004801B7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 </w:t>
      </w: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ходе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анализа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результатов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сначала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оценку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уровня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испытуемого.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этого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пользуются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шкалой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оценок.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631D5E" w:rsidRDefault="00631D5E" w:rsidP="004801B7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Шкала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оценок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A26D7D" w:rsidRDefault="00A26D7D" w:rsidP="004801B7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tbl>
      <w:tblPr>
        <w:tblStyle w:val="-11"/>
        <w:tblW w:w="0" w:type="auto"/>
        <w:jc w:val="center"/>
        <w:tblLook w:val="04A0"/>
      </w:tblPr>
      <w:tblGrid>
        <w:gridCol w:w="1600"/>
        <w:gridCol w:w="1600"/>
        <w:gridCol w:w="1953"/>
      </w:tblGrid>
      <w:tr w:rsidR="00A26D7D" w:rsidTr="00A26D7D">
        <w:trPr>
          <w:cnfStyle w:val="100000000000"/>
          <w:jc w:val="center"/>
        </w:trPr>
        <w:tc>
          <w:tcPr>
            <w:cnfStyle w:val="001000000000"/>
            <w:tcW w:w="1600" w:type="dxa"/>
          </w:tcPr>
          <w:p w:rsidR="00A26D7D" w:rsidRDefault="00A26D7D" w:rsidP="004801B7">
            <w:pPr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Кк</w:t>
            </w:r>
            <w:proofErr w:type="spellEnd"/>
          </w:p>
        </w:tc>
        <w:tc>
          <w:tcPr>
            <w:tcW w:w="1600" w:type="dxa"/>
          </w:tcPr>
          <w:p w:rsidR="00A26D7D" w:rsidRDefault="00A26D7D" w:rsidP="004801B7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953" w:type="dxa"/>
          </w:tcPr>
          <w:p w:rsidR="00A26D7D" w:rsidRDefault="00A26D7D" w:rsidP="004801B7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Шкала оценки</w:t>
            </w:r>
          </w:p>
        </w:tc>
      </w:tr>
      <w:tr w:rsidR="00A26D7D" w:rsidTr="00A26D7D">
        <w:trPr>
          <w:cnfStyle w:val="000000100000"/>
          <w:jc w:val="center"/>
        </w:trPr>
        <w:tc>
          <w:tcPr>
            <w:cnfStyle w:val="001000000000"/>
            <w:tcW w:w="1600" w:type="dxa"/>
          </w:tcPr>
          <w:p w:rsidR="00A26D7D" w:rsidRPr="004801B7" w:rsidRDefault="00A26D7D" w:rsidP="00781BAE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0,10-0,45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0" w:type="dxa"/>
          </w:tcPr>
          <w:p w:rsidR="00A26D7D" w:rsidRPr="004801B7" w:rsidRDefault="00A26D7D" w:rsidP="00781BAE">
            <w:pPr>
              <w:ind w:firstLine="284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0,2-0,55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3" w:type="dxa"/>
          </w:tcPr>
          <w:p w:rsidR="00A26D7D" w:rsidRPr="004801B7" w:rsidRDefault="00A26D7D" w:rsidP="00781BAE">
            <w:pPr>
              <w:ind w:firstLine="284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6D7D" w:rsidTr="00A26D7D">
        <w:trPr>
          <w:jc w:val="center"/>
        </w:trPr>
        <w:tc>
          <w:tcPr>
            <w:cnfStyle w:val="001000000000"/>
            <w:tcW w:w="1600" w:type="dxa"/>
          </w:tcPr>
          <w:p w:rsidR="00A26D7D" w:rsidRPr="004801B7" w:rsidRDefault="00A26D7D" w:rsidP="00781BAE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0,46-0,55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0" w:type="dxa"/>
          </w:tcPr>
          <w:p w:rsidR="00A26D7D" w:rsidRPr="004801B7" w:rsidRDefault="00A26D7D" w:rsidP="00781BAE">
            <w:pPr>
              <w:ind w:firstLine="284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0,56-0,65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3" w:type="dxa"/>
          </w:tcPr>
          <w:p w:rsidR="00A26D7D" w:rsidRPr="004801B7" w:rsidRDefault="00A26D7D" w:rsidP="00781BAE">
            <w:pPr>
              <w:ind w:firstLine="284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6D7D" w:rsidTr="00A26D7D">
        <w:trPr>
          <w:cnfStyle w:val="000000100000"/>
          <w:jc w:val="center"/>
        </w:trPr>
        <w:tc>
          <w:tcPr>
            <w:cnfStyle w:val="001000000000"/>
            <w:tcW w:w="1600" w:type="dxa"/>
          </w:tcPr>
          <w:p w:rsidR="00A26D7D" w:rsidRPr="004801B7" w:rsidRDefault="00A26D7D" w:rsidP="00781BAE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0,56-0,65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0" w:type="dxa"/>
          </w:tcPr>
          <w:p w:rsidR="00A26D7D" w:rsidRPr="004801B7" w:rsidRDefault="00A26D7D" w:rsidP="00781BAE">
            <w:pPr>
              <w:ind w:firstLine="284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0,66-0,70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3" w:type="dxa"/>
          </w:tcPr>
          <w:p w:rsidR="00A26D7D" w:rsidRPr="004801B7" w:rsidRDefault="00A26D7D" w:rsidP="00781BAE">
            <w:pPr>
              <w:ind w:firstLine="284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6D7D" w:rsidTr="00A26D7D">
        <w:trPr>
          <w:jc w:val="center"/>
        </w:trPr>
        <w:tc>
          <w:tcPr>
            <w:cnfStyle w:val="001000000000"/>
            <w:tcW w:w="1600" w:type="dxa"/>
          </w:tcPr>
          <w:p w:rsidR="00A26D7D" w:rsidRPr="004801B7" w:rsidRDefault="00A26D7D" w:rsidP="00781BAE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0,66-0,75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0" w:type="dxa"/>
          </w:tcPr>
          <w:p w:rsidR="00A26D7D" w:rsidRPr="004801B7" w:rsidRDefault="00A26D7D" w:rsidP="00781BAE">
            <w:pPr>
              <w:ind w:firstLine="284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0,71-0,80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3" w:type="dxa"/>
          </w:tcPr>
          <w:p w:rsidR="00A26D7D" w:rsidRPr="004801B7" w:rsidRDefault="00A26D7D" w:rsidP="00781BAE">
            <w:pPr>
              <w:ind w:firstLine="284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6D7D" w:rsidTr="00A26D7D">
        <w:trPr>
          <w:cnfStyle w:val="000000100000"/>
          <w:jc w:val="center"/>
        </w:trPr>
        <w:tc>
          <w:tcPr>
            <w:cnfStyle w:val="001000000000"/>
            <w:tcW w:w="1600" w:type="dxa"/>
          </w:tcPr>
          <w:p w:rsidR="00A26D7D" w:rsidRPr="004801B7" w:rsidRDefault="00A26D7D" w:rsidP="00781BAE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0,75-1,00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0" w:type="dxa"/>
          </w:tcPr>
          <w:p w:rsidR="00A26D7D" w:rsidRPr="004801B7" w:rsidRDefault="00A26D7D" w:rsidP="00781BAE">
            <w:pPr>
              <w:ind w:firstLine="284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0,81-1,00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3" w:type="dxa"/>
          </w:tcPr>
          <w:p w:rsidR="00A26D7D" w:rsidRPr="004801B7" w:rsidRDefault="00A26D7D" w:rsidP="00781BAE">
            <w:pPr>
              <w:ind w:firstLine="284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26D7D" w:rsidRPr="004801B7" w:rsidRDefault="00A26D7D" w:rsidP="004801B7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Уровень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развития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характеризуется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помощью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оценок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шкале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следующим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образом.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Испытуемые,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получившие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оценку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—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это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низким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уровнем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проявления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Испытуемые,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получившие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оценку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имеют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ниже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среднего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уровня.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стремятся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общению,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чувствуют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себя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скованно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компании,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коллективе,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gramStart"/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предпочитают</w:t>
      </w:r>
      <w:proofErr w:type="gramEnd"/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проводит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время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наедине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собой,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ограничивают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знакомства,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испытывают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трудности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установлении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контактов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людьми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выступлении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перед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аудиторией,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плохо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ориентируются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незнакомой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ситуации,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отстаивают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мнение,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тяжело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переживают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обиды.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многих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делах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предпочитают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избегать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проявления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самостоятельных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решений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инициативы.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испытуемых,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получивших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оценку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характерен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средний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уровень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проявления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стремятся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контактам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людьми,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ограничивают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круг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знакомств,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отстаивают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мнение,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планируют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работу,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однако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потенциал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отличается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высокой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устойчивостью.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Эта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группа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нуждается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дальнейшей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серьезной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планомерной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воспитательной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работе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формированию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развитию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Испытуемые,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получившие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оценку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относятся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группе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высоким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уровнем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проявления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теряются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обстановке</w:t>
      </w:r>
      <w:proofErr w:type="gramStart"/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,б</w:t>
      </w:r>
      <w:proofErr w:type="gramEnd"/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ыстро</w:t>
      </w:r>
      <w:proofErr w:type="spellEnd"/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находят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друзей,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постоянно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стремятся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расширить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круг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знакомых,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занимаются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общественной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деятельностью,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помогают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близким,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друзьям,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проявляют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инициативу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общении,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удовольствием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принимают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участие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организации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общественных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мероприятий,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способны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принимать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самостоятельное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решение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трудной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ситуации.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это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принуждению,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согласно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внутренним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устремлениям.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Испытуемые,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получившие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высшую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оценку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обладают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очень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высоким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уровнем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проявления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испытывают,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потребность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деятельности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активно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стремятся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ней,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быстро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ориентируются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трудных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ситуациях,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непринужденно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ведут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себя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новом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коллективе,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это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инициативные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люди,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предпочитают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важном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или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создавшейся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сложной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ситуации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принимать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самостоятельные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решения,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отстаивают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мнение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добиваются,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чтобы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было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принято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другими.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могут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внести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оживление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незнакомую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компанию,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любят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организовывать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разные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игры,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мероприятия,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настойчивы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деятельности,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которая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привлекает,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сами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ищут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такие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дела,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удовлетворяли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потребность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коммуникации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деятельности.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631D5E" w:rsidRPr="004801B7" w:rsidRDefault="00631D5E" w:rsidP="004801B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представляют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собой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важный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компонент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предпосылку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развития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способностей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видах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деятельности,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связаны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общением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людьми,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организацией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коллективной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работы.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являются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важным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звеном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развитии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педагогических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способностей.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254894" w:rsidRPr="004801B7" w:rsidRDefault="00631D5E" w:rsidP="0062730D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Желание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заниматься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организаторской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деятельностью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общаться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людьми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зависит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содержания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соответствующих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форм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активности,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типологических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особенностей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самой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личности.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многом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определяются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субъективной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ценностью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значимостью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человека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будущих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результатов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его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активности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отношением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лицам,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которыми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взаимодействует.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Это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следует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учесть,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составляя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рекомендации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испытуемых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низким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уровнем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развития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исследуемых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склонностей.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Достаточно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часто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склонности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появляются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ходе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таких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видов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деятельности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общения,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вначале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человеку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безразличны,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мере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включения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становятся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значимыми.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Здесь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важны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собственные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усилия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преодоление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коммуникативных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барьеров,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которые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возможны,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человек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ставит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себе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сознательную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цель</w:t>
      </w:r>
      <w:r w:rsid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480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саморазвития.</w:t>
      </w:r>
    </w:p>
    <w:sectPr w:rsidR="00254894" w:rsidRPr="004801B7" w:rsidSect="0025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6C38"/>
    <w:multiLevelType w:val="hybridMultilevel"/>
    <w:tmpl w:val="D3141F8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663E1253"/>
    <w:multiLevelType w:val="hybridMultilevel"/>
    <w:tmpl w:val="5E2E7D4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D5E"/>
    <w:rsid w:val="00254894"/>
    <w:rsid w:val="00256468"/>
    <w:rsid w:val="002B1240"/>
    <w:rsid w:val="004801B7"/>
    <w:rsid w:val="004C2EF5"/>
    <w:rsid w:val="00555A4A"/>
    <w:rsid w:val="0062730D"/>
    <w:rsid w:val="00631D5E"/>
    <w:rsid w:val="0075232F"/>
    <w:rsid w:val="00A26D7D"/>
    <w:rsid w:val="00B624BD"/>
    <w:rsid w:val="00BC1906"/>
    <w:rsid w:val="00BE5CAC"/>
    <w:rsid w:val="00C8299A"/>
    <w:rsid w:val="00D36F9C"/>
    <w:rsid w:val="00D63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1B7"/>
    <w:pPr>
      <w:ind w:left="720"/>
      <w:contextualSpacing/>
    </w:pPr>
  </w:style>
  <w:style w:type="table" w:styleId="a4">
    <w:name w:val="Table Grid"/>
    <w:basedOn w:val="a1"/>
    <w:uiPriority w:val="59"/>
    <w:rsid w:val="004801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BE5CA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E5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CAC"/>
    <w:rPr>
      <w:rFonts w:ascii="Tahoma" w:hAnsi="Tahoma" w:cs="Tahoma"/>
      <w:sz w:val="16"/>
      <w:szCs w:val="16"/>
    </w:rPr>
  </w:style>
  <w:style w:type="table" w:customStyle="1" w:styleId="1">
    <w:name w:val="Светлая заливка1"/>
    <w:basedOn w:val="a1"/>
    <w:uiPriority w:val="60"/>
    <w:rsid w:val="00A26D7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A26D7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11</cp:revision>
  <dcterms:created xsi:type="dcterms:W3CDTF">2009-05-28T12:49:00Z</dcterms:created>
  <dcterms:modified xsi:type="dcterms:W3CDTF">2009-06-03T16:27:00Z</dcterms:modified>
</cp:coreProperties>
</file>